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2021-12-02 10:53:33</w:t>
      </w:r>
    </w:p>
    <w:bookmarkStart w:id="39"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8" w:name="methods"/>
    <w:p>
      <w:pPr>
        <w:pStyle w:val="Heading1"/>
      </w:pPr>
      <w:r>
        <w:t xml:space="preserve">Methods</w:t>
      </w:r>
    </w:p>
    <w:bookmarkStart w:id="44"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Phytoplankton blooms were described qualitatively as low/medium/high concentrations based on</w:t>
      </w:r>
      <w:r>
        <w:t xml:space="preserve"> </w:t>
      </w:r>
      <w:hyperlink r:id="rId42">
        <w:r>
          <w:rPr>
            <w:rStyle w:val="Hyperlink"/>
          </w:rPr>
          <w:t xml:space="preserve">FWC breakpoints</w:t>
        </w:r>
      </w:hyperlink>
      <w:r>
        <w:t xml:space="preserve"> </w:t>
      </w:r>
      <w:r>
        <w:t xml:space="preserve">at 10,000/100,000/1,000,000 cells/L. Seagrass and macroalgae sampling occurred approximately biweekly at 38 transects using a modified rapid assessment design following the</w:t>
      </w:r>
      <w:r>
        <w:t xml:space="preserve"> </w:t>
      </w:r>
      <w:r>
        <w:t xml:space="preserve">“</w:t>
      </w:r>
      <w:hyperlink r:id="rId43">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together through an interactive, online application. Links and details are provided in supplement.</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1"/>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in comparison to the 2021 bloom event, potentially allowing fishes to migrate from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low/medium/high cell concentrations in a/b are from Florida Fish and Wildlife Conservation Commission (FWC), Fish kill reports are from FWC,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low/medium/high cell concentrations in a/b are from Florida Fish and Wildlife Conservation Commission (FWC), Fish kill reports are from FWC,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8" w:name="references"/>
    <w:p>
      <w:pPr>
        <w:pStyle w:val="Heading1"/>
      </w:pPr>
      <w:r>
        <w:t xml:space="preserve">References</w:t>
      </w:r>
    </w:p>
    <w:bookmarkStart w:id="187"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2">
        <w:r>
          <w:rPr>
            <w:rStyle w:val="Hyperlink"/>
          </w:rPr>
          <w:t xml:space="preserve">https://doi.org/10.1021/acs.est.1c05311</w:t>
        </w:r>
      </w:hyperlink>
    </w:p>
    <w:bookmarkEnd w:id="143"/>
    <w:bookmarkStart w:id="145" w:name="ref-Nixon95"/>
    <w:p>
      <w:pPr>
        <w:pStyle w:val="Bibliography"/>
      </w:pPr>
      <w:r>
        <w:t xml:space="preserve">Nixon, S.W., 1995. Coastal marine eutrophication: A definition, social causes, and future concerns. Ophelia 41, 199–219.</w:t>
      </w:r>
      <w:r>
        <w:t xml:space="preserve"> </w:t>
      </w:r>
      <w:hyperlink r:id="rId144">
        <w:r>
          <w:rPr>
            <w:rStyle w:val="Hyperlink"/>
          </w:rPr>
          <w:t xml:space="preserve">https://doi.org/10.1080/00785236.1995.10422044</w:t>
        </w:r>
      </w:hyperlink>
    </w:p>
    <w:bookmarkEnd w:id="145"/>
    <w:bookmarkStart w:id="146"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6"/>
    <w:bookmarkStart w:id="148"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7">
        <w:r>
          <w:rPr>
            <w:rStyle w:val="Hyperlink"/>
          </w:rPr>
          <w:t xml:space="preserve">https://doi.org/10.32614/RJ-2018-009</w:t>
        </w:r>
      </w:hyperlink>
    </w:p>
    <w:bookmarkEnd w:id="148"/>
    <w:bookmarkStart w:id="150"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9">
        <w:r>
          <w:rPr>
            <w:rStyle w:val="Hyperlink"/>
          </w:rPr>
          <w:t xml:space="preserve">https://doi.org/10.1016/j.scitotenv.2016.02.070</w:t>
        </w:r>
      </w:hyperlink>
    </w:p>
    <w:bookmarkEnd w:id="150"/>
    <w:bookmarkStart w:id="152"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1">
        <w:r>
          <w:rPr>
            <w:rStyle w:val="Hyperlink"/>
          </w:rPr>
          <w:t xml:space="preserve">https://doi.org/10.1016/j.apgeochem.2010.02.003</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4">
        <w:r>
          <w:rPr>
            <w:rStyle w:val="Hyperlink"/>
          </w:rPr>
          <w:t xml:space="preserve">https://doi.org/10.1038/s41598-020-74647-z</w:t>
        </w:r>
      </w:hyperlink>
    </w:p>
    <w:bookmarkEnd w:id="155"/>
    <w:bookmarkStart w:id="157"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6">
        <w:r>
          <w:rPr>
            <w:rStyle w:val="Hyperlink"/>
          </w:rPr>
          <w:t xml:space="preserve">https://doi.org/10.1007/s11270-013-1742-7</w:t>
        </w:r>
      </w:hyperlink>
    </w:p>
    <w:bookmarkEnd w:id="157"/>
    <w:bookmarkStart w:id="159"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8">
        <w:r>
          <w:rPr>
            <w:rStyle w:val="Hyperlink"/>
          </w:rPr>
          <w:t xml:space="preserve">https://doi.org/10.1016/j.ecolind.2020.107310</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3"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2">
        <w:r>
          <w:rPr>
            <w:rStyle w:val="Hyperlink"/>
          </w:rPr>
          <w:t xml:space="preserve">https://doi.org/10.1016/j.hal.2021.102118</w:t>
        </w:r>
      </w:hyperlink>
    </w:p>
    <w:bookmarkEnd w:id="163"/>
    <w:bookmarkStart w:id="165"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4">
        <w:r>
          <w:rPr>
            <w:rStyle w:val="Hyperlink"/>
          </w:rPr>
          <w:t xml:space="preserve">https://doi.org/10.1016/j.jembe.2005.11.025</w:t>
        </w:r>
      </w:hyperlink>
    </w:p>
    <w:bookmarkEnd w:id="165"/>
    <w:bookmarkStart w:id="167"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6">
        <w:r>
          <w:rPr>
            <w:rStyle w:val="Hyperlink"/>
          </w:rPr>
          <w:t xml:space="preserve">https://doi.org/10.1080/00139307509435842</w:t>
        </w:r>
      </w:hyperlink>
    </w:p>
    <w:bookmarkEnd w:id="167"/>
    <w:bookmarkStart w:id="169"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8">
        <w:r>
          <w:rPr>
            <w:rStyle w:val="Hyperlink"/>
          </w:rPr>
          <w:t xml:space="preserve">https://doi.org/10.1080/00139307209435473</w:t>
        </w:r>
      </w:hyperlink>
    </w:p>
    <w:bookmarkEnd w:id="169"/>
    <w:bookmarkStart w:id="17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0"/>
    <w:bookmarkStart w:id="17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1">
        <w:r>
          <w:rPr>
            <w:rStyle w:val="Hyperlink"/>
          </w:rPr>
          <w:t xml:space="preserve">https://doi.org/10.1016/j.jenvman.2009.03.007</w:t>
        </w:r>
      </w:hyperlink>
    </w:p>
    <w:bookmarkEnd w:id="172"/>
    <w:bookmarkStart w:id="17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3">
        <w:r>
          <w:rPr>
            <w:rStyle w:val="Hyperlink"/>
          </w:rPr>
          <w:t xml:space="preserve">https://doi.org/10.1016/j.marpolbul.2020.111247</w:t>
        </w:r>
      </w:hyperlink>
    </w:p>
    <w:bookmarkEnd w:id="174"/>
    <w:bookmarkStart w:id="17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5">
        <w:r>
          <w:rPr>
            <w:rStyle w:val="Hyperlink"/>
          </w:rPr>
          <w:t xml:space="preserve">https://doi.org/10.1016/j.marpolbul.2018.08.049</w:t>
        </w:r>
      </w:hyperlink>
    </w:p>
    <w:bookmarkEnd w:id="176"/>
    <w:bookmarkStart w:id="17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7">
        <w:r>
          <w:rPr>
            <w:rStyle w:val="Hyperlink"/>
          </w:rPr>
          <w:t xml:space="preserve">https://doi.org/10.4319/lo.1997.42.5_part_2.1105</w:t>
        </w:r>
      </w:hyperlink>
    </w:p>
    <w:bookmarkEnd w:id="178"/>
    <w:bookmarkStart w:id="17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9"/>
    <w:bookmarkStart w:id="18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0">
        <w:r>
          <w:rPr>
            <w:rStyle w:val="Hyperlink"/>
          </w:rPr>
          <w:t xml:space="preserve">https://doi.org/10.1029/2018JC014887</w:t>
        </w:r>
      </w:hyperlink>
    </w:p>
    <w:bookmarkEnd w:id="181"/>
    <w:bookmarkStart w:id="18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2">
        <w:r>
          <w:rPr>
            <w:rStyle w:val="Hyperlink"/>
          </w:rPr>
          <w:t xml:space="preserve">https://doi.org/10.1016/j.hal.2014.04.010</w:t>
        </w:r>
      </w:hyperlink>
    </w:p>
    <w:bookmarkEnd w:id="183"/>
    <w:bookmarkStart w:id="18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4">
        <w:r>
          <w:rPr>
            <w:rStyle w:val="Hyperlink"/>
          </w:rPr>
          <w:t xml:space="preserve">https://doi.org/10.21105/joss.01686</w:t>
        </w:r>
      </w:hyperlink>
    </w:p>
    <w:bookmarkEnd w:id="185"/>
    <w:bookmarkStart w:id="186" w:name="ref-Wood17"/>
    <w:p>
      <w:pPr>
        <w:pStyle w:val="Bibliography"/>
      </w:pPr>
      <w:r>
        <w:t xml:space="preserve">Wood, S.N., 2017. Generalized additive models: An introduction with r, 2nd ed. Chapman; Hall, CRC Press, London, United Kingdom.</w:t>
      </w:r>
    </w:p>
    <w:bookmarkEnd w:id="186"/>
    <w:bookmarkEnd w:id="187"/>
    <w:bookmarkEnd w:id="188"/>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2021-12-02T15:53:38Z</dcterms:created>
  <dcterms:modified xsi:type="dcterms:W3CDTF">2021-12-02T15:53:38Z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